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010A8A" w:rsidRPr="00010A8A">
        <w:rPr>
          <w:rFonts w:ascii="Times New Roman" w:hAnsi="Times New Roman"/>
          <w:b/>
          <w:sz w:val="28"/>
          <w:szCs w:val="28"/>
          <w:lang w:val="ru-RU"/>
        </w:rPr>
        <w:t>НИКОЛАЕВСКОГО</w:t>
      </w: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010A8A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D6394A" w:rsidRPr="00010A8A">
        <w:rPr>
          <w:rFonts w:ascii="Times New Roman" w:hAnsi="Times New Roman"/>
          <w:sz w:val="24"/>
          <w:szCs w:val="24"/>
          <w:lang w:val="ru-RU" w:eastAsia="ar-SA"/>
        </w:rPr>
        <w:t>12</w:t>
      </w:r>
      <w:r w:rsidR="00CD4D1C" w:rsidRPr="00010A8A">
        <w:rPr>
          <w:rFonts w:ascii="Times New Roman" w:hAnsi="Times New Roman"/>
          <w:sz w:val="24"/>
          <w:szCs w:val="24"/>
          <w:lang w:val="ru-RU" w:eastAsia="ar-SA"/>
        </w:rPr>
        <w:t>.12.2019</w:t>
      </w: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010A8A" w:rsidRPr="00010A8A">
        <w:rPr>
          <w:rFonts w:ascii="Times New Roman" w:hAnsi="Times New Roman"/>
          <w:sz w:val="24"/>
          <w:szCs w:val="24"/>
          <w:lang w:val="ru-RU" w:eastAsia="ar-SA"/>
        </w:rPr>
        <w:t>43</w:t>
      </w:r>
    </w:p>
    <w:p w:rsidR="007D6BEC" w:rsidRPr="00010A8A" w:rsidRDefault="00010A8A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010A8A">
        <w:rPr>
          <w:rFonts w:ascii="Times New Roman" w:hAnsi="Times New Roman"/>
          <w:sz w:val="24"/>
          <w:szCs w:val="24"/>
          <w:lang w:val="ru-RU" w:eastAsia="ar-SA"/>
        </w:rPr>
        <w:t>с.</w:t>
      </w:r>
      <w:r w:rsidR="00FD3C34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010A8A">
        <w:rPr>
          <w:rFonts w:ascii="Times New Roman" w:hAnsi="Times New Roman"/>
          <w:sz w:val="24"/>
          <w:szCs w:val="24"/>
          <w:lang w:val="ru-RU" w:eastAsia="ar-SA"/>
        </w:rPr>
        <w:t>Николаевка</w:t>
      </w:r>
    </w:p>
    <w:p w:rsidR="007D6BEC" w:rsidRPr="00010A8A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010A8A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010A8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>Николаевского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>Николаевского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Утвердить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7D6BEC" w:rsidRPr="00010A8A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официальном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сайте 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 xml:space="preserve">Николаевского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сельского поселения в разделе « Нормативно – правовые акты»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96"/>
        <w:gridCol w:w="3396"/>
        <w:gridCol w:w="3396"/>
      </w:tblGrid>
      <w:tr w:rsidR="007D6BEC" w:rsidRPr="00010A8A" w:rsidTr="00B65F45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010A8A" w:rsidRPr="00010A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Николаевского</w:t>
            </w: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А.Ю.Кульков</w:t>
            </w:r>
          </w:p>
        </w:tc>
        <w:tc>
          <w:tcPr>
            <w:tcW w:w="3396" w:type="dxa"/>
            <w:hideMark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6BEC" w:rsidRPr="00010A8A" w:rsidTr="00B65F45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3C34" w:rsidRPr="00010A8A" w:rsidRDefault="00FD3C3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Pr="00010A8A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B657BA" w:rsidRPr="00010A8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lastRenderedPageBreak/>
        <w:t>Приложение 1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Перечень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муниципального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имущества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="00010A8A" w:rsidRPr="00010A8A">
        <w:rPr>
          <w:rStyle w:val="a7"/>
          <w:rFonts w:ascii="Times New Roman" w:hAnsi="Times New Roman"/>
          <w:sz w:val="20"/>
          <w:szCs w:val="20"/>
          <w:lang w:val="ru-RU"/>
        </w:rPr>
        <w:t>Николаевского</w:t>
      </w:r>
      <w:r w:rsidR="008E69D5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сельского поселения,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свободного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от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третьих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лиц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(за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исключением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хозяйственного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ведения,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оперативного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управления,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также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имущественных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предпринимательства),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предназначенного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для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предоставления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владение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(или)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пользование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субъектам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организациям,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образующим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инфраструктуру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поддержки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1276"/>
        <w:gridCol w:w="1276"/>
        <w:gridCol w:w="2410"/>
        <w:gridCol w:w="1134"/>
        <w:gridCol w:w="1701"/>
      </w:tblGrid>
      <w:tr w:rsidR="00422223" w:rsidRPr="00010A8A" w:rsidTr="006666C0">
        <w:trPr>
          <w:trHeight w:val="276"/>
        </w:trPr>
        <w:tc>
          <w:tcPr>
            <w:tcW w:w="425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№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п/п</w:t>
            </w:r>
          </w:p>
        </w:tc>
        <w:tc>
          <w:tcPr>
            <w:tcW w:w="255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Адрес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(местоположение)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Вид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недвижимости;</w:t>
            </w:r>
          </w:p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движимого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учета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010A8A" w:rsidTr="006666C0">
        <w:trPr>
          <w:trHeight w:val="276"/>
        </w:trPr>
        <w:tc>
          <w:tcPr>
            <w:tcW w:w="425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245" w:type="dxa"/>
            <w:gridSpan w:val="3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Основная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характеристика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EB6A6A" w:rsidTr="006666C0">
        <w:trPr>
          <w:trHeight w:val="552"/>
        </w:trPr>
        <w:tc>
          <w:tcPr>
            <w:tcW w:w="425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10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(площадь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земельных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участков,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зданий,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помещений;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сооружений;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согласно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проектной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документации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объектов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незавершенного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строительства)</w:t>
            </w:r>
          </w:p>
        </w:tc>
        <w:tc>
          <w:tcPr>
            <w:tcW w:w="1134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Фактическое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значение/Проектируемое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значение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объектов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незавершенного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Единица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измерения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кв.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глубины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куб.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м)</w:t>
            </w:r>
          </w:p>
        </w:tc>
      </w:tr>
      <w:tr w:rsidR="00422223" w:rsidRPr="00010A8A" w:rsidTr="006666C0">
        <w:tc>
          <w:tcPr>
            <w:tcW w:w="42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55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410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4D00B4" w:rsidRPr="006666C0" w:rsidTr="006666C0">
        <w:tc>
          <w:tcPr>
            <w:tcW w:w="425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552" w:type="dxa"/>
          </w:tcPr>
          <w:p w:rsidR="004D00B4" w:rsidRPr="006666C0" w:rsidRDefault="00010A8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РФ, Челябинская область ,Варненский район с. Николаевка, участок находится примерно в 1467м. по направлению на юго-запад от ориентира Центральная д.25, расположенного за пределами участка</w:t>
            </w:r>
          </w:p>
        </w:tc>
        <w:tc>
          <w:tcPr>
            <w:tcW w:w="1276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6666C0" w:rsidRDefault="004D00B4" w:rsidP="0014607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2410" w:type="dxa"/>
          </w:tcPr>
          <w:p w:rsidR="004D00B4" w:rsidRPr="006666C0" w:rsidRDefault="00010A8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11475000,00</w:t>
            </w:r>
          </w:p>
        </w:tc>
        <w:tc>
          <w:tcPr>
            <w:tcW w:w="1134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  <w:tr w:rsidR="004D00B4" w:rsidRPr="006666C0" w:rsidTr="006666C0">
        <w:tc>
          <w:tcPr>
            <w:tcW w:w="425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552" w:type="dxa"/>
          </w:tcPr>
          <w:p w:rsidR="004D00B4" w:rsidRPr="006666C0" w:rsidRDefault="00010A8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РФ, Челябинская область ,Варненский район с. Николаевка, участок находится примерно в 2320м. по направлению на северо-запад от ориентира пер.Форштадский д.1, расположенного за пределами участка</w:t>
            </w:r>
          </w:p>
        </w:tc>
        <w:tc>
          <w:tcPr>
            <w:tcW w:w="1276" w:type="dxa"/>
          </w:tcPr>
          <w:p w:rsidR="004D00B4" w:rsidRPr="006666C0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6666C0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2410" w:type="dxa"/>
          </w:tcPr>
          <w:p w:rsidR="004D00B4" w:rsidRPr="006666C0" w:rsidRDefault="00010A8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4506007,00</w:t>
            </w:r>
          </w:p>
        </w:tc>
        <w:tc>
          <w:tcPr>
            <w:tcW w:w="1134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  <w:tr w:rsidR="006666C0" w:rsidRPr="006666C0" w:rsidTr="006666C0">
        <w:tc>
          <w:tcPr>
            <w:tcW w:w="425" w:type="dxa"/>
          </w:tcPr>
          <w:p w:rsidR="006666C0" w:rsidRPr="006666C0" w:rsidRDefault="00EB6A6A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552" w:type="dxa"/>
            <w:vAlign w:val="bottom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jc w:val="lef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РФ, Челябинская область ,Варненский район с. Николаевка, ул. Степная д.1стр 4</w:t>
            </w:r>
          </w:p>
        </w:tc>
        <w:tc>
          <w:tcPr>
            <w:tcW w:w="1276" w:type="dxa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здание</w:t>
            </w:r>
          </w:p>
        </w:tc>
        <w:tc>
          <w:tcPr>
            <w:tcW w:w="1276" w:type="dxa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гараж</w:t>
            </w:r>
          </w:p>
        </w:tc>
        <w:tc>
          <w:tcPr>
            <w:tcW w:w="2410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137,8</w:t>
            </w:r>
          </w:p>
        </w:tc>
        <w:tc>
          <w:tcPr>
            <w:tcW w:w="1134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  <w:tr w:rsidR="006666C0" w:rsidRPr="006666C0" w:rsidTr="006666C0">
        <w:tc>
          <w:tcPr>
            <w:tcW w:w="425" w:type="dxa"/>
          </w:tcPr>
          <w:p w:rsidR="006666C0" w:rsidRPr="006666C0" w:rsidRDefault="00EB6A6A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552" w:type="dxa"/>
            <w:vAlign w:val="bottom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jc w:val="lef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РФ, Челябинская область ,Варненский район с. Николаевка, ул. Степная д.1 стр 3</w:t>
            </w:r>
          </w:p>
        </w:tc>
        <w:tc>
          <w:tcPr>
            <w:tcW w:w="1276" w:type="dxa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здание</w:t>
            </w:r>
          </w:p>
        </w:tc>
        <w:tc>
          <w:tcPr>
            <w:tcW w:w="1276" w:type="dxa"/>
          </w:tcPr>
          <w:p w:rsidR="006666C0" w:rsidRPr="006666C0" w:rsidRDefault="006666C0" w:rsidP="006666C0">
            <w:pPr>
              <w:pStyle w:val="27"/>
              <w:shd w:val="clear" w:color="auto" w:fill="auto"/>
              <w:spacing w:after="0" w:line="240" w:lineRule="exact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нежилое здание-склад</w:t>
            </w:r>
          </w:p>
        </w:tc>
        <w:tc>
          <w:tcPr>
            <w:tcW w:w="2410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427,4</w:t>
            </w:r>
          </w:p>
        </w:tc>
        <w:tc>
          <w:tcPr>
            <w:tcW w:w="1134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6666C0" w:rsidRPr="006666C0" w:rsidRDefault="006666C0" w:rsidP="006666C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EB6A6A" w:rsidRDefault="00EB6A6A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D3C34" w:rsidRPr="00010A8A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1418"/>
        <w:gridCol w:w="1275"/>
        <w:gridCol w:w="567"/>
        <w:gridCol w:w="851"/>
        <w:gridCol w:w="1984"/>
      </w:tblGrid>
      <w:tr w:rsidR="00422223" w:rsidRPr="00010A8A" w:rsidTr="006666C0">
        <w:trPr>
          <w:trHeight w:val="276"/>
        </w:trPr>
        <w:tc>
          <w:tcPr>
            <w:tcW w:w="5495" w:type="dxa"/>
            <w:gridSpan w:val="5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br w:type="page"/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4677" w:type="dxa"/>
            <w:gridSpan w:val="4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010A8A" w:rsidTr="006666C0">
        <w:trPr>
          <w:trHeight w:val="276"/>
        </w:trPr>
        <w:tc>
          <w:tcPr>
            <w:tcW w:w="2093" w:type="dxa"/>
            <w:gridSpan w:val="2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Кадастровый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номер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Техническое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состояние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Категория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земель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Вид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разрешенного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использования</w:t>
            </w:r>
          </w:p>
        </w:tc>
        <w:tc>
          <w:tcPr>
            <w:tcW w:w="4677" w:type="dxa"/>
            <w:gridSpan w:val="4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6666C0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(кадастровый,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условный,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Государственный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регистрационный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знак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(при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Марка,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Год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Состав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(принадлежности)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6666C0">
        <w:tc>
          <w:tcPr>
            <w:tcW w:w="988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418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27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</w:t>
            </w:r>
          </w:p>
        </w:tc>
      </w:tr>
      <w:tr w:rsidR="007D6BEC" w:rsidRPr="00010A8A" w:rsidTr="006666C0">
        <w:tc>
          <w:tcPr>
            <w:tcW w:w="988" w:type="dxa"/>
          </w:tcPr>
          <w:p w:rsidR="007D6BEC" w:rsidRPr="006666C0" w:rsidRDefault="00010A8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74:05:4900003:30</w:t>
            </w:r>
          </w:p>
        </w:tc>
        <w:tc>
          <w:tcPr>
            <w:tcW w:w="1105" w:type="dxa"/>
          </w:tcPr>
          <w:p w:rsidR="007D6BEC" w:rsidRPr="006666C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666C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666C0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Земли с/х назначения</w:t>
            </w:r>
          </w:p>
        </w:tc>
        <w:tc>
          <w:tcPr>
            <w:tcW w:w="1418" w:type="dxa"/>
          </w:tcPr>
          <w:p w:rsidR="007D6BEC" w:rsidRPr="006666C0" w:rsidRDefault="00010A8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6394A" w:rsidRPr="00EB6A6A" w:rsidTr="006666C0">
        <w:tc>
          <w:tcPr>
            <w:tcW w:w="988" w:type="dxa"/>
          </w:tcPr>
          <w:p w:rsidR="00D6394A" w:rsidRPr="006666C0" w:rsidRDefault="00010A8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74:05:4900002:14</w:t>
            </w:r>
          </w:p>
        </w:tc>
        <w:tc>
          <w:tcPr>
            <w:tcW w:w="1105" w:type="dxa"/>
          </w:tcPr>
          <w:p w:rsidR="00D6394A" w:rsidRPr="006666C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6666C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6666C0" w:rsidRDefault="00D6394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Земли с/х назначения</w:t>
            </w:r>
          </w:p>
        </w:tc>
        <w:tc>
          <w:tcPr>
            <w:tcW w:w="1418" w:type="dxa"/>
          </w:tcPr>
          <w:p w:rsidR="00D6394A" w:rsidRPr="006666C0" w:rsidRDefault="00010A8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для выпаса скота и сенокоса</w:t>
            </w:r>
          </w:p>
        </w:tc>
        <w:tc>
          <w:tcPr>
            <w:tcW w:w="1275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66C0" w:rsidRPr="006666C0" w:rsidTr="006666C0">
        <w:tc>
          <w:tcPr>
            <w:tcW w:w="988" w:type="dxa"/>
          </w:tcPr>
          <w:p w:rsidR="006666C0" w:rsidRPr="006666C0" w:rsidRDefault="006666C0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74:05:2700001:0007:000053:1000</w:t>
            </w:r>
          </w:p>
        </w:tc>
        <w:tc>
          <w:tcPr>
            <w:tcW w:w="1105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6666C0" w:rsidRPr="006666C0" w:rsidRDefault="006666C0" w:rsidP="003F2B8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Style w:val="212pt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666C0" w:rsidRPr="006666C0" w:rsidTr="006666C0">
        <w:tc>
          <w:tcPr>
            <w:tcW w:w="988" w:type="dxa"/>
          </w:tcPr>
          <w:p w:rsidR="006666C0" w:rsidRPr="006666C0" w:rsidRDefault="006666C0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Style w:val="212pt"/>
                <w:sz w:val="18"/>
                <w:szCs w:val="18"/>
              </w:rPr>
            </w:pPr>
            <w:r w:rsidRPr="006666C0">
              <w:rPr>
                <w:rStyle w:val="212pt"/>
                <w:sz w:val="18"/>
                <w:szCs w:val="18"/>
              </w:rPr>
              <w:t>74:05:2700001:0007:000052:1000</w:t>
            </w:r>
          </w:p>
        </w:tc>
        <w:tc>
          <w:tcPr>
            <w:tcW w:w="1105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6666C0" w:rsidRPr="006666C0" w:rsidRDefault="006666C0" w:rsidP="003F2B8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Style w:val="212pt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6666C0" w:rsidRPr="006666C0" w:rsidRDefault="006666C0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422223" w:rsidRPr="00010A8A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EB6A6A" w:rsidTr="00422223">
        <w:tc>
          <w:tcPr>
            <w:tcW w:w="10117" w:type="dxa"/>
            <w:gridSpan w:val="7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третьих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лиц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</w:p>
        </w:tc>
      </w:tr>
      <w:tr w:rsidR="00422223" w:rsidRPr="00010A8A" w:rsidTr="00422223">
        <w:tc>
          <w:tcPr>
            <w:tcW w:w="4077" w:type="dxa"/>
            <w:gridSpan w:val="2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договоров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ограниченного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вещного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ИНН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Контактный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номер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телефона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Адрес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электронной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почты</w:t>
            </w:r>
          </w:p>
        </w:tc>
      </w:tr>
      <w:tr w:rsidR="00422223" w:rsidRPr="00EB6A6A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или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Дата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окончания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срока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действия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(при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7D6BEC" w:rsidRPr="00010A8A" w:rsidTr="00422223">
        <w:tc>
          <w:tcPr>
            <w:tcW w:w="273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6279E" w:rsidRPr="00010A8A" w:rsidRDefault="0096279E" w:rsidP="008D0497">
      <w:pPr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sectPr w:rsidR="0096279E" w:rsidRPr="00010A8A" w:rsidSect="00FD3C34">
      <w:pgSz w:w="11906" w:h="16838"/>
      <w:pgMar w:top="567" w:right="282" w:bottom="567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96" w:rsidRDefault="00467E96" w:rsidP="004F7FEB">
      <w:r>
        <w:separator/>
      </w:r>
    </w:p>
  </w:endnote>
  <w:endnote w:type="continuationSeparator" w:id="1">
    <w:p w:rsidR="00467E96" w:rsidRDefault="00467E96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96" w:rsidRDefault="00467E96" w:rsidP="004F7FEB">
      <w:r>
        <w:separator/>
      </w:r>
    </w:p>
  </w:footnote>
  <w:footnote w:type="continuationSeparator" w:id="1">
    <w:p w:rsidR="00467E96" w:rsidRDefault="00467E96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0A8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67E96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666C0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C7BDA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72E9B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B6A6A"/>
    <w:rsid w:val="00EC2403"/>
    <w:rsid w:val="00ED0C0A"/>
    <w:rsid w:val="00ED3F40"/>
    <w:rsid w:val="00ED443D"/>
    <w:rsid w:val="00EE35BE"/>
    <w:rsid w:val="00EE4489"/>
    <w:rsid w:val="00EE6023"/>
    <w:rsid w:val="00EF27B4"/>
    <w:rsid w:val="00EF290A"/>
    <w:rsid w:val="00F11A93"/>
    <w:rsid w:val="00F14002"/>
    <w:rsid w:val="00F23ACA"/>
    <w:rsid w:val="00F25CDC"/>
    <w:rsid w:val="00F32151"/>
    <w:rsid w:val="00F34E05"/>
    <w:rsid w:val="00F41B3F"/>
    <w:rsid w:val="00F53F38"/>
    <w:rsid w:val="00F71F84"/>
    <w:rsid w:val="00F722EE"/>
    <w:rsid w:val="00F77D0E"/>
    <w:rsid w:val="00F8133C"/>
    <w:rsid w:val="00F90126"/>
    <w:rsid w:val="00FA5262"/>
    <w:rsid w:val="00FB1CAE"/>
    <w:rsid w:val="00FB3E8C"/>
    <w:rsid w:val="00FB412A"/>
    <w:rsid w:val="00FB47FB"/>
    <w:rsid w:val="00FB6513"/>
    <w:rsid w:val="00FC1187"/>
    <w:rsid w:val="00FD3C34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212pt">
    <w:name w:val="Основной текст (2) + 12 pt"/>
    <w:basedOn w:val="a0"/>
    <w:rsid w:val="00010A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6666C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66C0"/>
    <w:pPr>
      <w:widowControl w:val="0"/>
      <w:shd w:val="clear" w:color="auto" w:fill="FFFFFF"/>
      <w:spacing w:after="360" w:line="0" w:lineRule="atLeast"/>
      <w:ind w:firstLine="0"/>
      <w:jc w:val="center"/>
    </w:pPr>
    <w:rPr>
      <w:rFonts w:ascii="Times New Roman" w:hAnsi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4522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4</cp:revision>
  <cp:lastPrinted>2019-12-16T05:27:00Z</cp:lastPrinted>
  <dcterms:created xsi:type="dcterms:W3CDTF">2019-12-13T06:26:00Z</dcterms:created>
  <dcterms:modified xsi:type="dcterms:W3CDTF">2019-12-16T05:28:00Z</dcterms:modified>
</cp:coreProperties>
</file>